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Power of attorney for number portability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1"/>
        <w:gridCol w:w="5057"/>
        <w:tblGridChange w:id="0">
          <w:tblGrid>
            <w:gridCol w:w="2031"/>
            <w:gridCol w:w="5057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Postal code/City: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Vat number: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The undersigned hereby authorizes</w:t>
      </w:r>
      <w:r w:rsidDel="00000000" w:rsidR="00000000" w:rsidRPr="00000000">
        <w:rPr>
          <w:sz w:val="18"/>
          <w:szCs w:val="18"/>
          <w:rtl w:val="0"/>
        </w:rPr>
        <w:t xml:space="preserve"> WILDIX OÜ 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Laeva tn. 2, 10111, Tallinn, Estonia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to act on my behalf in all matters regarding my phone subscription for telephone / number series: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3"/>
        <w:gridCol w:w="3024"/>
        <w:gridCol w:w="1744"/>
        <w:gridCol w:w="2635"/>
        <w:tblGridChange w:id="0">
          <w:tblGrid>
            <w:gridCol w:w="2343"/>
            <w:gridCol w:w="3024"/>
            <w:gridCol w:w="1744"/>
            <w:gridCol w:w="2635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Current operator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right"/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(One POA for each operator)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8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8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Main telephone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bottom w:color="00008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Telephone number series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If series (e.g. 10 nr): +45-78781280-89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bottom w:color="00008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Account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(If avaiable)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bottom w:color="00008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Requested execution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color w:val="ffffff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Minimum 5 working days ahead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2"/>
                <w:szCs w:val="12"/>
                <w:vertAlign w:val="baseline"/>
                <w:rtl w:val="0"/>
              </w:rPr>
              <w:t xml:space="preserve">(dd-mm-yyyy)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Furthermore, </w:t>
      </w: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is entitled to dispose of subscription and phone number / number series with the same effect, as was the disposition made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​​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by the undersigned personally.</w:t>
      </w:r>
    </w:p>
    <w:p w:rsidR="00000000" w:rsidDel="00000000" w:rsidP="00000000" w:rsidRDefault="00000000" w:rsidRPr="00000000" w14:paraId="00000058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is, as of a result of the above, entitled to, among other things perform the following operations and / or authorize a third party to perform the following actions on behalf of </w:t>
      </w: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855" w:hanging="36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Create, modify and take down the subscription with another telecommunications company.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855" w:hanging="36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Subscribe and unsubscribe telephone number / number range for carrier preselection in another telecom company.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855" w:hanging="36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Transferring phone number / number range from </w:t>
      </w: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or third parties to </w:t>
      </w: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or another of </w:t>
      </w:r>
      <w:r w:rsidDel="00000000" w:rsidR="00000000" w:rsidRPr="00000000">
        <w:rPr>
          <w:sz w:val="18"/>
          <w:szCs w:val="18"/>
          <w:rtl w:val="0"/>
        </w:rPr>
        <w:t xml:space="preserve">WILDIX OÜ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designated third party in connection with number porting.</w:t>
      </w:r>
    </w:p>
    <w:p w:rsidR="00000000" w:rsidDel="00000000" w:rsidP="00000000" w:rsidRDefault="00000000" w:rsidRPr="00000000" w14:paraId="0000005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Please note that if you are in a contract or a different notice of termination at your current operator, you may be charged subscription fee for the remainder of the termination period.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_______________________________, date _____________________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</w:t>
      </w:r>
    </w:p>
    <w:sectPr>
      <w:headerReference r:id="rId7" w:type="default"/>
      <w:footerReference r:id="rId8" w:type="default"/>
      <w:pgSz w:h="16838" w:w="11906" w:orient="portrait"/>
      <w:pgMar w:bottom="709" w:top="1418" w:left="1134" w:right="1134" w:header="540" w:footer="4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57" w:right="-1134" w:firstLine="57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10260"/>
      </w:tabs>
      <w:spacing w:after="0" w:before="0" w:line="240" w:lineRule="auto"/>
      <w:ind w:left="0" w:right="-454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da-DK" w:val="da-DK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da-DK" w:val="da-DK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da-DK" w:val="da-DK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effect w:val="none"/>
      <w:vertAlign w:val="baseline"/>
      <w:cs w:val="0"/>
      <w:em w:val="none"/>
      <w:lang w:bidi="ar-SA" w:eastAsia="da-DK" w:val="da-DK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a-DK" w:val="da-DK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next w:val="Table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le3Deffects1">
    <w:name w:val="Table 3D effects 1"/>
    <w:basedOn w:val="TableNormal"/>
    <w:next w:val="Table3Deffect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1"/>
      <w:jc w:val="left"/>
    </w:tblPr>
  </w:style>
  <w:style w:type="table" w:styleId="Table3Deffects2">
    <w:name w:val="Table 3D effects 2"/>
    <w:basedOn w:val="TableNormal"/>
    <w:next w:val="Table3Deffect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2"/>
      <w:tblStyleRowBandSize w:val="1"/>
      <w:jc w:val="left"/>
    </w:tblPr>
  </w:style>
  <w:style w:type="table" w:styleId="Table3Deffects3">
    <w:name w:val="Table 3D effects 3"/>
    <w:basedOn w:val="TableNormal"/>
    <w:next w:val="Table3Deffect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3"/>
      <w:tblStyleRowBandSize w:val="1"/>
      <w:tblStyleColBandSize w:val="1"/>
      <w:jc w:val="left"/>
    </w:tblPr>
  </w:style>
  <w:style w:type="table" w:styleId="TableClassic1">
    <w:name w:val="Table Classic 1"/>
    <w:basedOn w:val="TableNormal"/>
    <w:next w:val="TableClassic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olumns3">
    <w:name w:val="Table Columns 3"/>
    <w:basedOn w:val="TableNormal"/>
    <w:next w:val="TableColumn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TableGrid8">
    <w:name w:val="Table Grid 8"/>
    <w:basedOn w:val="TableNormal"/>
    <w:next w:val="TableGrid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4yloaeHy7c8cD5FiFG2eXEL1DA==">CgMxLjA4AHIhMXJkSkRsNjNJZUtDeWI0QjlkdWh5YmE3MVhUaW5iU1NU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2022-08-08T12:36:00Z</dcterms:created>
  <dc:creator>Christian Petø Høien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display_urn:schemas-microsoft-com:office:office#Editor">
    <vt:lpstr>Mikkel Sylvest</vt:lpstr>
  </property>
  <property fmtid="{D5CDD505-2E9C-101B-9397-08002B2CF9AE}" pid="4" name="Order">
    <vt:lpstr>28000.0000000000</vt:lpstr>
  </property>
  <property fmtid="{D5CDD505-2E9C-101B-9397-08002B2CF9AE}" pid="5" name="display_urn:schemas-microsoft-com:office:office#Author">
    <vt:lpstr>Mikkel Sylvest</vt:lpstr>
  </property>
  <property fmtid="{D5CDD505-2E9C-101B-9397-08002B2CF9AE}" pid="6" name="_ip_UnifiedCompliancePolicyUIAction">
    <vt:lpstr/>
  </property>
  <property fmtid="{D5CDD505-2E9C-101B-9397-08002B2CF9AE}" pid="7" name="_ip_UnifiedCompliancePolicyProperties">
    <vt:lpstr/>
  </property>
  <property fmtid="{D5CDD505-2E9C-101B-9397-08002B2CF9AE}" pid="8" name="lcf76f155ced4ddcb4097134ff3c332f">
    <vt:lpstr/>
  </property>
  <property fmtid="{D5CDD505-2E9C-101B-9397-08002B2CF9AE}" pid="9" name="TaxCatchAll">
    <vt:lpstr/>
  </property>
</Properties>
</file>